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7322DC" w:rsidRPr="007825E6" w14:paraId="0B28A218" w14:textId="77777777" w:rsidTr="004E2DCE">
        <w:tc>
          <w:tcPr>
            <w:tcW w:w="0" w:type="auto"/>
            <w:vAlign w:val="center"/>
            <w:hideMark/>
          </w:tcPr>
          <w:p w14:paraId="1FBCD96A" w14:textId="68EA12E8" w:rsidR="00AB5D89" w:rsidRDefault="00AB5D89"/>
          <w:tbl>
            <w:tblPr>
              <w:tblW w:w="10348" w:type="dxa"/>
              <w:tblCellSpacing w:w="0" w:type="dxa"/>
              <w:tblCellMar>
                <w:left w:w="0" w:type="dxa"/>
                <w:right w:w="0" w:type="dxa"/>
              </w:tblCellMar>
              <w:tblLook w:val="04A0" w:firstRow="1" w:lastRow="0" w:firstColumn="1" w:lastColumn="0" w:noHBand="0" w:noVBand="1"/>
            </w:tblPr>
            <w:tblGrid>
              <w:gridCol w:w="10348"/>
            </w:tblGrid>
            <w:tr w:rsidR="007322DC" w:rsidRPr="007825E6" w14:paraId="717075A9" w14:textId="77777777" w:rsidTr="004E2DCE">
              <w:trPr>
                <w:trHeight w:val="10500"/>
                <w:tblCellSpacing w:w="0" w:type="dxa"/>
              </w:trPr>
              <w:tc>
                <w:tcPr>
                  <w:tcW w:w="10348" w:type="dxa"/>
                  <w:shd w:val="clear" w:color="auto" w:fill="FFFFFF"/>
                  <w:hideMark/>
                </w:tcPr>
                <w:p w14:paraId="4E609B24" w14:textId="37DF33F5" w:rsidR="00727A27" w:rsidRPr="00FA603F" w:rsidRDefault="00DD7743" w:rsidP="00CF4C86">
                  <w:pPr>
                    <w:shd w:val="clear" w:color="auto" w:fill="FFFFFF"/>
                    <w:rPr>
                      <w:rFonts w:asciiTheme="minorHAnsi" w:hAnsiTheme="minorHAnsi" w:cstheme="minorHAnsi"/>
                      <w:sz w:val="18"/>
                      <w:szCs w:val="18"/>
                      <w:lang w:val="nl-NL"/>
                    </w:rPr>
                  </w:pPr>
                  <w:r w:rsidRPr="00FA603F">
                    <w:rPr>
                      <w:rStyle w:val="Strong"/>
                      <w:rFonts w:eastAsia="Calibri"/>
                      <w:sz w:val="18"/>
                      <w:szCs w:val="18"/>
                      <w:lang w:val="de-DE"/>
                    </w:rPr>
                    <w:t>K</w:t>
                  </w:r>
                  <w:r w:rsidR="00AB5D89">
                    <w:rPr>
                      <w:rStyle w:val="Strong"/>
                      <w:rFonts w:eastAsia="Calibri"/>
                      <w:sz w:val="18"/>
                      <w:szCs w:val="18"/>
                      <w:lang w:val="de-DE"/>
                    </w:rPr>
                    <w:t>beim Kauf einder der ausgewählten Fluke Kameras</w:t>
                  </w:r>
                  <w:r w:rsidR="00AB5D89" w:rsidRPr="00AB5D89">
                    <w:rPr>
                      <w:rStyle w:val="Strong"/>
                      <w:rFonts w:eastAsia="Calibri"/>
                      <w:sz w:val="18"/>
                      <w:szCs w:val="18"/>
                      <w:lang w:val="de-DE"/>
                    </w:rPr>
                    <w:t xml:space="preserve"> </w:t>
                  </w:r>
                  <w:r w:rsidR="00AB5D89" w:rsidRPr="00AB5D89">
                    <w:rPr>
                      <w:rStyle w:val="Strong"/>
                      <w:rFonts w:asciiTheme="minorHAnsi" w:hAnsiTheme="minorHAnsi" w:cstheme="minorHAnsi"/>
                      <w:sz w:val="18"/>
                      <w:szCs w:val="18"/>
                      <w:lang w:val="nl-NL"/>
                    </w:rPr>
                    <w:t>(Ti300+, Ti401-PRO, Ti480-PRO, TiX501 o</w:t>
                  </w:r>
                  <w:r w:rsidR="007825E6">
                    <w:rPr>
                      <w:rStyle w:val="Strong"/>
                      <w:rFonts w:asciiTheme="minorHAnsi" w:hAnsiTheme="minorHAnsi" w:cstheme="minorHAnsi"/>
                      <w:sz w:val="18"/>
                      <w:szCs w:val="18"/>
                      <w:lang w:val="nl-NL"/>
                    </w:rPr>
                    <w:t>de</w:t>
                  </w:r>
                  <w:r w:rsidR="00AB5D89" w:rsidRPr="00AB5D89">
                    <w:rPr>
                      <w:rStyle w:val="Strong"/>
                      <w:rFonts w:asciiTheme="minorHAnsi" w:hAnsiTheme="minorHAnsi" w:cstheme="minorHAnsi"/>
                      <w:sz w:val="18"/>
                      <w:szCs w:val="18"/>
                      <w:lang w:val="nl-NL"/>
                    </w:rPr>
                    <w:t>r TiX580)</w:t>
                  </w:r>
                  <w:r w:rsidR="00AB5D89">
                    <w:rPr>
                      <w:rStyle w:val="Strong"/>
                      <w:rFonts w:asciiTheme="minorHAnsi" w:hAnsiTheme="minorHAnsi" w:cstheme="minorHAnsi"/>
                      <w:color w:val="FF0000"/>
                      <w:sz w:val="18"/>
                      <w:szCs w:val="18"/>
                      <w:lang w:val="nl-NL"/>
                    </w:rPr>
                    <w:t xml:space="preserve"> </w:t>
                  </w:r>
                  <w:r w:rsidR="00AB5D89">
                    <w:rPr>
                      <w:rStyle w:val="Strong"/>
                      <w:rFonts w:eastAsia="Calibri"/>
                      <w:sz w:val="18"/>
                      <w:szCs w:val="18"/>
                      <w:lang w:val="de-DE"/>
                    </w:rPr>
                    <w:t>erhalten Sie einkostenloasers Fluke Produkt.</w:t>
                  </w:r>
                </w:p>
                <w:p w14:paraId="7222EBE1" w14:textId="40C00ACD" w:rsidR="00727A27" w:rsidRPr="00FA603F" w:rsidRDefault="00727A27" w:rsidP="00CF4C86">
                  <w:pPr>
                    <w:shd w:val="clear" w:color="auto" w:fill="FFFFFF"/>
                    <w:rPr>
                      <w:rFonts w:asciiTheme="minorHAnsi" w:hAnsiTheme="minorHAnsi" w:cstheme="minorHAnsi"/>
                      <w:sz w:val="18"/>
                      <w:szCs w:val="18"/>
                      <w:lang w:val="nl-NL"/>
                    </w:rPr>
                  </w:pPr>
                </w:p>
                <w:p w14:paraId="2A1BE1B7" w14:textId="67A09F50" w:rsidR="00727A27" w:rsidRPr="00FA603F" w:rsidRDefault="00DD7743" w:rsidP="00727A27">
                  <w:pPr>
                    <w:shd w:val="clear" w:color="auto" w:fill="FFFFFF"/>
                    <w:rPr>
                      <w:rFonts w:asciiTheme="minorHAnsi" w:hAnsiTheme="minorHAnsi" w:cstheme="minorHAnsi"/>
                      <w:sz w:val="18"/>
                      <w:szCs w:val="18"/>
                      <w:lang w:val="nl-NL"/>
                    </w:rPr>
                  </w:pPr>
                  <w:r w:rsidRPr="00FA603F">
                    <w:rPr>
                      <w:rFonts w:eastAsia="Calibri"/>
                      <w:sz w:val="18"/>
                      <w:szCs w:val="18"/>
                      <w:lang w:val="de-DE"/>
                    </w:rPr>
                    <w:t>FLK-LENS/TELE2, 4335350; FLK-LENS/WIDE2, 4335361; FLUKE-279FC I/B, 4989200; FLK-PTI120 9H, 5302512</w:t>
                  </w:r>
                </w:p>
                <w:p w14:paraId="53E69974" w14:textId="77777777" w:rsidR="00AB5D89" w:rsidRDefault="00DD7743" w:rsidP="00AB5D89">
                  <w:pPr>
                    <w:pStyle w:val="ListParagraph"/>
                    <w:shd w:val="clear" w:color="auto" w:fill="FFFFFF"/>
                    <w:ind w:left="142"/>
                    <w:rPr>
                      <w:rFonts w:eastAsia="Calibri"/>
                      <w:sz w:val="18"/>
                      <w:szCs w:val="18"/>
                      <w:lang w:val="de-DE"/>
                    </w:rPr>
                  </w:pPr>
                  <w:r w:rsidRPr="00FA603F">
                    <w:rPr>
                      <w:rFonts w:eastAsia="Calibri"/>
                      <w:sz w:val="18"/>
                      <w:szCs w:val="18"/>
                      <w:lang w:val="de-DE"/>
                    </w:rPr>
                    <w:br/>
                  </w:r>
                  <w:r w:rsidRPr="00FA603F">
                    <w:rPr>
                      <w:rFonts w:eastAsia="Calibri"/>
                      <w:sz w:val="18"/>
                      <w:szCs w:val="18"/>
                      <w:lang w:val="de-DE"/>
                    </w:rPr>
                    <w:br/>
                    <w:t>So erhalten Sie Ihr KOSTENLOSES Geschenk von Fluke:</w:t>
                  </w:r>
                  <w:r w:rsidRPr="00FA603F">
                    <w:rPr>
                      <w:rFonts w:eastAsia="Calibri"/>
                      <w:sz w:val="18"/>
                      <w:szCs w:val="18"/>
                      <w:lang w:val="de-DE"/>
                    </w:rPr>
                    <w:br/>
                  </w:r>
                </w:p>
                <w:p w14:paraId="29F0B6CC" w14:textId="0CEA5362" w:rsidR="00AB5D89" w:rsidRPr="00AB5D89" w:rsidRDefault="00DD7743" w:rsidP="00AB5D89">
                  <w:pPr>
                    <w:pStyle w:val="ListParagraph"/>
                    <w:shd w:val="clear" w:color="auto" w:fill="FFFFFF"/>
                    <w:ind w:left="142"/>
                    <w:rPr>
                      <w:rStyle w:val="Strong"/>
                      <w:rFonts w:asciiTheme="minorHAnsi" w:hAnsiTheme="minorHAnsi" w:cstheme="minorHAnsi"/>
                      <w:b w:val="0"/>
                      <w:bCs w:val="0"/>
                      <w:sz w:val="18"/>
                      <w:szCs w:val="18"/>
                    </w:rPr>
                  </w:pPr>
                  <w:r w:rsidRPr="00FA603F">
                    <w:rPr>
                      <w:rFonts w:eastAsia="Calibri"/>
                      <w:sz w:val="18"/>
                      <w:szCs w:val="18"/>
                      <w:lang w:val="de-DE"/>
                    </w:rPr>
                    <w:t>• Kaufen Sie zwischen dem 1. </w:t>
                  </w:r>
                  <w:r w:rsidR="00AB5D89">
                    <w:rPr>
                      <w:rFonts w:eastAsia="Calibri"/>
                      <w:sz w:val="18"/>
                      <w:szCs w:val="18"/>
                      <w:lang w:val="de-DE"/>
                    </w:rPr>
                    <w:t>September</w:t>
                  </w:r>
                  <w:r w:rsidRPr="00FA603F">
                    <w:rPr>
                      <w:rFonts w:eastAsia="Calibri"/>
                      <w:sz w:val="18"/>
                      <w:szCs w:val="18"/>
                      <w:lang w:val="de-DE"/>
                    </w:rPr>
                    <w:t xml:space="preserve"> 2023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xml:space="preserve"> 2023 eine in der Aktion enthaltene Fluke Wärmebildkamera, </w:t>
                  </w:r>
                  <w:r w:rsidR="00AB5D89" w:rsidRPr="00AB5D89">
                    <w:rPr>
                      <w:rStyle w:val="Strong"/>
                      <w:rFonts w:asciiTheme="minorHAnsi" w:hAnsiTheme="minorHAnsi" w:cstheme="minorHAnsi"/>
                      <w:b w:val="0"/>
                      <w:bCs w:val="0"/>
                      <w:sz w:val="18"/>
                      <w:szCs w:val="18"/>
                    </w:rPr>
                    <w:t xml:space="preserve">Ti300+, Ti401-PRO, Ti480-PRO, TiX501 </w:t>
                  </w:r>
                  <w:proofErr w:type="spellStart"/>
                  <w:r w:rsidR="00AB5D89" w:rsidRPr="00AB5D89">
                    <w:rPr>
                      <w:rStyle w:val="Strong"/>
                      <w:rFonts w:asciiTheme="minorHAnsi" w:hAnsiTheme="minorHAnsi" w:cstheme="minorHAnsi"/>
                      <w:b w:val="0"/>
                      <w:bCs w:val="0"/>
                      <w:sz w:val="18"/>
                      <w:szCs w:val="18"/>
                    </w:rPr>
                    <w:t>o</w:t>
                  </w:r>
                  <w:r w:rsidR="007825E6">
                    <w:rPr>
                      <w:rStyle w:val="Strong"/>
                      <w:rFonts w:asciiTheme="minorHAnsi" w:hAnsiTheme="minorHAnsi" w:cstheme="minorHAnsi"/>
                      <w:b w:val="0"/>
                      <w:bCs w:val="0"/>
                      <w:sz w:val="18"/>
                      <w:szCs w:val="18"/>
                    </w:rPr>
                    <w:t>de</w:t>
                  </w:r>
                  <w:r w:rsidR="00AB5D89" w:rsidRPr="00AB5D89">
                    <w:rPr>
                      <w:rStyle w:val="Strong"/>
                      <w:rFonts w:asciiTheme="minorHAnsi" w:hAnsiTheme="minorHAnsi" w:cstheme="minorHAnsi"/>
                      <w:b w:val="0"/>
                      <w:bCs w:val="0"/>
                      <w:sz w:val="18"/>
                      <w:szCs w:val="18"/>
                    </w:rPr>
                    <w:t>r</w:t>
                  </w:r>
                  <w:proofErr w:type="spellEnd"/>
                  <w:r w:rsidR="00AB5D89" w:rsidRPr="00AB5D89">
                    <w:rPr>
                      <w:rStyle w:val="Strong"/>
                      <w:rFonts w:asciiTheme="minorHAnsi" w:hAnsiTheme="minorHAnsi" w:cstheme="minorHAnsi"/>
                      <w:b w:val="0"/>
                      <w:bCs w:val="0"/>
                      <w:sz w:val="18"/>
                      <w:szCs w:val="18"/>
                    </w:rPr>
                    <w:t xml:space="preserve"> TiX580</w:t>
                  </w:r>
                  <w:r w:rsidR="00B7217E">
                    <w:rPr>
                      <w:rStyle w:val="Strong"/>
                      <w:rFonts w:asciiTheme="minorHAnsi" w:hAnsiTheme="minorHAnsi" w:cstheme="minorHAnsi"/>
                      <w:b w:val="0"/>
                      <w:bCs w:val="0"/>
                      <w:sz w:val="18"/>
                      <w:szCs w:val="18"/>
                    </w:rPr>
                    <w:t>.</w:t>
                  </w:r>
                </w:p>
                <w:p w14:paraId="4CB3F4E7" w14:textId="2BF32575" w:rsidR="00CF4C86" w:rsidRPr="00FA603F" w:rsidRDefault="00DD7743" w:rsidP="00CF4C86">
                  <w:pPr>
                    <w:pStyle w:val="ListParagraph"/>
                    <w:numPr>
                      <w:ilvl w:val="0"/>
                      <w:numId w:val="2"/>
                    </w:numPr>
                    <w:shd w:val="clear" w:color="auto" w:fill="FFFFFF"/>
                    <w:ind w:left="142" w:hanging="142"/>
                    <w:rPr>
                      <w:rFonts w:asciiTheme="minorHAnsi" w:hAnsiTheme="minorHAnsi" w:cstheme="minorHAnsi"/>
                      <w:color w:val="FF0000"/>
                      <w:sz w:val="18"/>
                      <w:szCs w:val="18"/>
                      <w:lang w:val="nl-NL"/>
                    </w:rPr>
                  </w:pPr>
                  <w:r w:rsidRPr="00AB5D89">
                    <w:rPr>
                      <w:rFonts w:eastAsia="Calibri"/>
                      <w:sz w:val="18"/>
                      <w:szCs w:val="18"/>
                      <w:lang w:val="de-DE"/>
                    </w:rPr>
                    <w:t>Endkunden mit Wohnsitz in der Europäische</w:t>
                  </w:r>
                  <w:r w:rsidRPr="00FA603F">
                    <w:rPr>
                      <w:rFonts w:eastAsia="Calibri"/>
                      <w:sz w:val="18"/>
                      <w:szCs w:val="18"/>
                      <w:lang w:val="de-DE"/>
                    </w:rPr>
                    <w:t>n Union, dem Vereinigten Königreich, der Schweiz, Norwegen, Schweden, Finnland, Albanien, Bosnien-Herzegowina, Island, Mazedonien und Serbien können an dieser Aktion teilnehmen. Die Einkäufe müssen bei einem autorisierten Fluke Vertriebspartner im Land getätigt werden, in dem der Wohnsitz des Kunden liegt.</w:t>
                  </w:r>
                  <w:r>
                    <w:rPr>
                      <w:rFonts w:eastAsia="Calibri"/>
                      <w:color w:val="FF0000"/>
                      <w:sz w:val="18"/>
                      <w:szCs w:val="18"/>
                      <w:lang w:val="de-DE"/>
                    </w:rPr>
                    <w:t xml:space="preserve"> </w:t>
                  </w:r>
                </w:p>
                <w:p w14:paraId="5333EF3B" w14:textId="2A91A301" w:rsidR="007137DD" w:rsidRPr="00FA603F" w:rsidRDefault="00DD7743" w:rsidP="007137DD">
                  <w:pPr>
                    <w:shd w:val="clear" w:color="auto" w:fill="FFFFFF"/>
                    <w:rPr>
                      <w:rFonts w:asciiTheme="minorHAnsi" w:hAnsiTheme="minorHAnsi" w:cstheme="minorHAnsi"/>
                      <w:sz w:val="18"/>
                      <w:szCs w:val="18"/>
                      <w:lang w:val="nl-NL"/>
                    </w:rPr>
                  </w:pPr>
                  <w:r>
                    <w:rPr>
                      <w:rFonts w:eastAsia="Calibri"/>
                      <w:sz w:val="18"/>
                      <w:szCs w:val="18"/>
                      <w:lang w:val="de-DE"/>
                    </w:rPr>
                    <w:t>• Ein Kaufnachweis in Form einer Einzelquittung oder -rechnung ist erforderlich. Lieferscheine, Bestellaufträge oder Bestellbetätigungen werden nicht als Kaufnachweis anerkannt.</w:t>
                  </w:r>
                  <w:r>
                    <w:rPr>
                      <w:rFonts w:eastAsia="Calibri"/>
                      <w:sz w:val="18"/>
                      <w:szCs w:val="18"/>
                      <w:lang w:val="de-DE"/>
                    </w:rPr>
                    <w:br/>
                    <w:t>• Andere Produkte als diejenigen, für die diese Aktion gilt, sind von dieser Aktion AUSGESCHLOSSEN.</w:t>
                  </w:r>
                  <w:r>
                    <w:rPr>
                      <w:rFonts w:eastAsia="Calibri"/>
                      <w:sz w:val="18"/>
                      <w:szCs w:val="18"/>
                      <w:lang w:val="de-DE"/>
                    </w:rPr>
                    <w:br/>
                    <w:t>• Bei einem online erfolgten Einkauf ist ein Auslieferungsnachweis erforderlich, aus dem der Spediteur, das Auslieferungsdatum und die Nummer der elektronischen Sendungsverfolgung hervorgehen.</w:t>
                  </w:r>
                  <w:r>
                    <w:rPr>
                      <w:rFonts w:eastAsia="Calibri"/>
                      <w:sz w:val="18"/>
                      <w:szCs w:val="18"/>
                      <w:lang w:val="de-DE"/>
                    </w:rPr>
                    <w:br/>
                    <w:t xml:space="preserve">Lösen Sie das Fluke Gratisgeschenk online ein! Besuchen Sie </w:t>
                  </w:r>
                  <w:hyperlink r:id="rId5" w:history="1">
                    <w:r w:rsidR="006D1C2A" w:rsidRPr="00191F1E">
                      <w:rPr>
                        <w:rStyle w:val="Hyperlink"/>
                        <w:rFonts w:eastAsia="Calibri"/>
                        <w:sz w:val="18"/>
                        <w:szCs w:val="18"/>
                        <w:lang w:val="de-DE"/>
                      </w:rPr>
                      <w:t>www.fluke.ch/freefluke-claim</w:t>
                    </w:r>
                  </w:hyperlink>
                  <w:r w:rsidR="00FA603F">
                    <w:rPr>
                      <w:rFonts w:eastAsia="Calibri"/>
                      <w:color w:val="FF0000"/>
                      <w:sz w:val="18"/>
                      <w:szCs w:val="18"/>
                      <w:lang w:val="de-DE"/>
                    </w:rPr>
                    <w:t xml:space="preserve"> </w:t>
                  </w:r>
                  <w:r>
                    <w:rPr>
                      <w:rFonts w:eastAsia="Calibri"/>
                      <w:sz w:val="18"/>
                      <w:szCs w:val="18"/>
                      <w:lang w:val="de-DE"/>
                    </w:rPr>
                    <w:br/>
                    <w:t>Erhalten und genießen Sie Ihr neues Fluke Geschenk GRATIS!</w:t>
                  </w:r>
                  <w:r>
                    <w:rPr>
                      <w:rFonts w:eastAsia="Calibri"/>
                      <w:sz w:val="18"/>
                      <w:szCs w:val="18"/>
                      <w:lang w:val="de-DE"/>
                    </w:rPr>
                    <w:br/>
                    <w:t xml:space="preserve">Es gelten weitere Teilnahmebedingungen. Durch die Teilnahme an dieser Aktion erklären Sie sich mit den Teilnahmebedingungen einverstanden. Die Geschäftsbedingungen finden Sie unter </w:t>
                  </w:r>
                  <w:hyperlink r:id="rId6" w:history="1">
                    <w:r w:rsidR="006D1C2A" w:rsidRPr="00191F1E">
                      <w:rPr>
                        <w:rStyle w:val="Hyperlink"/>
                        <w:rFonts w:eastAsia="Calibri"/>
                        <w:sz w:val="18"/>
                        <w:szCs w:val="18"/>
                        <w:lang w:val="de-DE"/>
                      </w:rPr>
                      <w:t>www.fluke.ch/freefluke</w:t>
                    </w:r>
                  </w:hyperlink>
                  <w:r>
                    <w:rPr>
                      <w:rFonts w:eastAsia="Calibri"/>
                      <w:color w:val="000000"/>
                      <w:sz w:val="18"/>
                      <w:szCs w:val="18"/>
                      <w:lang w:val="de-DE"/>
                    </w:rPr>
                    <w:br/>
                  </w:r>
                  <w:r>
                    <w:rPr>
                      <w:rFonts w:eastAsia="Calibri"/>
                      <w:color w:val="000000"/>
                      <w:sz w:val="18"/>
                      <w:szCs w:val="18"/>
                      <w:lang w:val="de-DE"/>
                    </w:rPr>
                    <w:br/>
                    <w:t>Allgemeine Geschäftsbedingungen</w:t>
                  </w:r>
                  <w:r>
                    <w:rPr>
                      <w:rFonts w:eastAsia="Calibri"/>
                      <w:color w:val="000000"/>
                      <w:sz w:val="18"/>
                      <w:szCs w:val="18"/>
                      <w:lang w:val="de-DE"/>
                    </w:rPr>
                    <w:br/>
                  </w:r>
                  <w:r>
                    <w:rPr>
                      <w:rFonts w:eastAsia="Calibri"/>
                      <w:color w:val="000000"/>
                      <w:sz w:val="18"/>
                      <w:szCs w:val="18"/>
                      <w:lang w:val="de-DE"/>
                    </w:rPr>
                    <w:br/>
                    <w:t>1. Beschreibung der Aktion:</w:t>
                  </w:r>
                  <w:r>
                    <w:rPr>
                      <w:rFonts w:eastAsia="Calibri"/>
                      <w:color w:val="000000"/>
                      <w:sz w:val="18"/>
                      <w:szCs w:val="18"/>
                      <w:lang w:val="de-DE"/>
                    </w:rPr>
                    <w:br/>
                  </w:r>
                  <w:r>
                    <w:rPr>
                      <w:rFonts w:eastAsia="Calibri"/>
                      <w:color w:val="000000"/>
                      <w:sz w:val="18"/>
                      <w:szCs w:val="18"/>
                      <w:lang w:val="de-DE"/>
                    </w:rPr>
                    <w:br/>
                    <w:t>Im Rahmen dieser Aktion sind teilnahmeberechtigte Endkunden, die alle in den vorliegenden Teilnahmebedingungen der Aktion festgelegten Voraussetzungen erfüllen, während des Aktionszeitraums (Definition des Zeitraums siehe Abschnitt 3 unten) zum Erhalt eines gratis Fluke Produkts berechtigt. Siehe hierzu die folgende Beschreibung. Im Rahmen dieser Aktion sind teilnahmeberechtigte Endkunden von Fluke Europe B.V. oder deren angeschlossenen juristischen Körperschaften („Sponsor“), die in allen Fällen unter dem Markennamen Fluke handeln, zum Erhalt eines Fluke Produkts ihrer Wahl berechtigt, wobei folgende Produkte zur Auswahl stehen:</w:t>
                  </w:r>
                  <w:r w:rsidRPr="00FA603F">
                    <w:rPr>
                      <w:rFonts w:eastAsia="Calibri"/>
                      <w:sz w:val="18"/>
                      <w:szCs w:val="18"/>
                      <w:lang w:val="de-DE"/>
                    </w:rPr>
                    <w:t xml:space="preserve"> FLK-LENS/TELE2, 4335350; FLK-LENS/WIDE2, 4335361; FLUKE-279FC I/B, 4989200; FLK-PTI120 9H, 5302512</w:t>
                  </w:r>
                </w:p>
                <w:p w14:paraId="45529EAA" w14:textId="1B2A3012" w:rsidR="007E6FA3"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t>(„Geschenk“) nach dem Kauf von in der Aktion enthaltenen Fluke Produkten wie unten aufgeführt:</w:t>
                  </w:r>
                  <w:r w:rsidRPr="00FA603F">
                    <w:rPr>
                      <w:rFonts w:eastAsia="Calibri"/>
                      <w:sz w:val="18"/>
                      <w:szCs w:val="18"/>
                      <w:lang w:val="de-DE"/>
                    </w:rPr>
                    <w:br/>
                  </w:r>
                  <w:r>
                    <w:rPr>
                      <w:rFonts w:eastAsia="Calibri"/>
                      <w:color w:val="000000"/>
                      <w:sz w:val="18"/>
                      <w:szCs w:val="18"/>
                      <w:lang w:val="de-DE"/>
                    </w:rPr>
                    <w:br/>
                    <w:t>Unter dem Begriff „Fluke Produkte“ sind die nachstehend aufgeführten Fluke Produkte zu verstehen:</w:t>
                  </w:r>
                  <w:r>
                    <w:rPr>
                      <w:rFonts w:eastAsia="Calibri"/>
                      <w:color w:val="000000"/>
                      <w:sz w:val="18"/>
                      <w:szCs w:val="18"/>
                      <w:lang w:val="de-DE"/>
                    </w:rPr>
                    <w:br/>
                  </w:r>
                  <w:r>
                    <w:rPr>
                      <w:rFonts w:eastAsia="Calibri"/>
                      <w:color w:val="000000"/>
                      <w:sz w:val="18"/>
                      <w:szCs w:val="18"/>
                      <w:lang w:val="de-DE"/>
                    </w:rPr>
                    <w:br/>
                    <w:t>Modellbeschreibung Produktnummer</w:t>
                  </w:r>
                  <w:r>
                    <w:rPr>
                      <w:rFonts w:eastAsia="Calibri"/>
                      <w:color w:val="000000"/>
                      <w:sz w:val="18"/>
                      <w:szCs w:val="18"/>
                      <w:lang w:val="de-DE"/>
                    </w:rPr>
                    <w:br/>
                  </w:r>
                </w:p>
                <w:p w14:paraId="7EBBD428" w14:textId="77777777" w:rsidR="00AB5D89" w:rsidRPr="00AB5D89" w:rsidRDefault="00AB5D89" w:rsidP="00AB5D89">
                  <w:pPr>
                    <w:rPr>
                      <w:sz w:val="18"/>
                      <w:szCs w:val="18"/>
                    </w:rPr>
                  </w:pPr>
                  <w:r w:rsidRPr="00AB5D89">
                    <w:rPr>
                      <w:sz w:val="18"/>
                      <w:szCs w:val="18"/>
                    </w:rPr>
                    <w:t>Fluke Thermal Imaging Camera Ti300+ 60Hz (5127961)</w:t>
                  </w:r>
                </w:p>
                <w:p w14:paraId="06C6EC2F" w14:textId="77777777" w:rsidR="00AB5D89" w:rsidRPr="00AB5D89" w:rsidRDefault="00AB5D89" w:rsidP="00AB5D89">
                  <w:pPr>
                    <w:rPr>
                      <w:sz w:val="18"/>
                      <w:szCs w:val="18"/>
                    </w:rPr>
                  </w:pPr>
                  <w:r w:rsidRPr="00AB5D89">
                    <w:rPr>
                      <w:sz w:val="18"/>
                      <w:szCs w:val="18"/>
                    </w:rPr>
                    <w:t>Fluke Thermal Imaging Camera Ti300+ 9Hz (5127977)</w:t>
                  </w:r>
                </w:p>
                <w:p w14:paraId="185F7F0C" w14:textId="77777777" w:rsidR="00AB5D89" w:rsidRPr="00AB5D89" w:rsidRDefault="00AB5D89" w:rsidP="00AB5D89">
                  <w:pPr>
                    <w:rPr>
                      <w:sz w:val="18"/>
                      <w:szCs w:val="18"/>
                    </w:rPr>
                  </w:pPr>
                  <w:r w:rsidRPr="00AB5D89">
                    <w:rPr>
                      <w:sz w:val="18"/>
                      <w:szCs w:val="18"/>
                    </w:rPr>
                    <w:t>Fluke Thermal Imaging Camera Ti401-PRO 60Hz (5085041)</w:t>
                  </w:r>
                </w:p>
                <w:p w14:paraId="2299BD23" w14:textId="77777777" w:rsidR="00AB5D89" w:rsidRPr="00AB5D89" w:rsidRDefault="00AB5D89" w:rsidP="00AB5D89">
                  <w:pPr>
                    <w:rPr>
                      <w:sz w:val="18"/>
                      <w:szCs w:val="18"/>
                    </w:rPr>
                  </w:pPr>
                  <w:r w:rsidRPr="00AB5D89">
                    <w:rPr>
                      <w:sz w:val="18"/>
                      <w:szCs w:val="18"/>
                    </w:rPr>
                    <w:t>Fluke Thermal Imaging Camera Ti401-PRO 9Hz (5085052)</w:t>
                  </w:r>
                </w:p>
                <w:p w14:paraId="7EF9B004" w14:textId="77777777" w:rsidR="00AB5D89" w:rsidRPr="00AB5D89" w:rsidRDefault="00AB5D89" w:rsidP="00AB5D89">
                  <w:pPr>
                    <w:rPr>
                      <w:sz w:val="18"/>
                      <w:szCs w:val="18"/>
                    </w:rPr>
                  </w:pPr>
                  <w:r w:rsidRPr="00AB5D89">
                    <w:rPr>
                      <w:sz w:val="18"/>
                      <w:szCs w:val="18"/>
                    </w:rPr>
                    <w:t>Fluke Thermal Imaging Camera Ti480-PRO 60Hz (4947326)</w:t>
                  </w:r>
                </w:p>
                <w:p w14:paraId="4BE29485" w14:textId="77777777" w:rsidR="00AB5D89" w:rsidRPr="00AB5D89" w:rsidRDefault="00AB5D89" w:rsidP="00AB5D89">
                  <w:pPr>
                    <w:rPr>
                      <w:sz w:val="18"/>
                      <w:szCs w:val="18"/>
                    </w:rPr>
                  </w:pPr>
                  <w:r w:rsidRPr="00AB5D89">
                    <w:rPr>
                      <w:sz w:val="18"/>
                      <w:szCs w:val="18"/>
                    </w:rPr>
                    <w:t>Fluke Thermal Imaging Camera Ti480-PRO 9Hz (4947332)</w:t>
                  </w:r>
                </w:p>
                <w:p w14:paraId="4E6890F3" w14:textId="77777777" w:rsidR="00AB5D89" w:rsidRPr="00AB5D89" w:rsidRDefault="00AB5D89" w:rsidP="00AB5D89">
                  <w:pPr>
                    <w:rPr>
                      <w:sz w:val="18"/>
                      <w:szCs w:val="18"/>
                    </w:rPr>
                  </w:pPr>
                  <w:r w:rsidRPr="00AB5D89">
                    <w:rPr>
                      <w:sz w:val="18"/>
                      <w:szCs w:val="18"/>
                    </w:rPr>
                    <w:t>Fluke Thermal Imaging Camera TiX501 60Hz (5085119)</w:t>
                  </w:r>
                </w:p>
                <w:p w14:paraId="1C8DA3EE" w14:textId="77777777" w:rsidR="00AB5D89" w:rsidRPr="00AB5D89" w:rsidRDefault="00AB5D89" w:rsidP="00AB5D89">
                  <w:pPr>
                    <w:rPr>
                      <w:sz w:val="18"/>
                      <w:szCs w:val="18"/>
                    </w:rPr>
                  </w:pPr>
                  <w:r w:rsidRPr="00AB5D89">
                    <w:rPr>
                      <w:sz w:val="18"/>
                      <w:szCs w:val="18"/>
                    </w:rPr>
                    <w:t>Fluke Thermal Imaging Camera TiX501 9Hz (5085128)</w:t>
                  </w:r>
                </w:p>
                <w:p w14:paraId="00D69949" w14:textId="77777777" w:rsidR="00AB5D89" w:rsidRPr="00AB5D89" w:rsidRDefault="00AB5D89" w:rsidP="00AB5D89">
                  <w:pPr>
                    <w:rPr>
                      <w:sz w:val="18"/>
                      <w:szCs w:val="18"/>
                    </w:rPr>
                  </w:pPr>
                  <w:r w:rsidRPr="00AB5D89">
                    <w:rPr>
                      <w:sz w:val="18"/>
                      <w:szCs w:val="18"/>
                    </w:rPr>
                    <w:t>Fluke Thermal Imaging Camera TiX580 60Hz (4842073)</w:t>
                  </w:r>
                </w:p>
                <w:p w14:paraId="43C3455C" w14:textId="77777777" w:rsidR="00AB5D89" w:rsidRPr="00A37058" w:rsidRDefault="00AB5D89" w:rsidP="00AB5D89">
                  <w:pPr>
                    <w:rPr>
                      <w:color w:val="FF0000"/>
                    </w:rPr>
                  </w:pPr>
                  <w:r w:rsidRPr="00AB5D89">
                    <w:rPr>
                      <w:sz w:val="18"/>
                      <w:szCs w:val="18"/>
                    </w:rPr>
                    <w:t>Fluke Thermal Imaging Camera TiX580 9Hz (4841945)</w:t>
                  </w:r>
                </w:p>
                <w:p w14:paraId="7F409525" w14:textId="462664CC" w:rsidR="004E2DCE"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br/>
                    <w:t>Hiervon ausgeschlossen sind alle anderen Fluke Produkte, einschließlich, aber nicht beschränkt auf, Fluke Industrial Produkte (IG), die oben nicht aufgeführt sind, und Produkte von Fluke Calibration, Fluke Networks, Fluke Biomedical, Beha-Amprobe, Pomona, Comark, eMaint-Software und Pacific Laser Systems.</w:t>
                  </w:r>
                  <w:r w:rsidRPr="00FA603F">
                    <w:rPr>
                      <w:rFonts w:eastAsia="Calibri"/>
                      <w:sz w:val="18"/>
                      <w:szCs w:val="18"/>
                      <w:lang w:val="de-DE"/>
                    </w:rPr>
                    <w:br/>
                  </w:r>
                  <w:r w:rsidRPr="00FA603F">
                    <w:rPr>
                      <w:rFonts w:eastAsia="Calibri"/>
                      <w:sz w:val="18"/>
                      <w:szCs w:val="18"/>
                      <w:lang w:val="de-DE"/>
                    </w:rPr>
                    <w:br/>
                    <w:t>2. Teilnahmeberechtigung und Aktionszeitraum:</w:t>
                  </w:r>
                  <w:r w:rsidRPr="00FA603F">
                    <w:rPr>
                      <w:rFonts w:eastAsia="Calibri"/>
                      <w:sz w:val="18"/>
                      <w:szCs w:val="18"/>
                      <w:lang w:val="de-DE"/>
                    </w:rPr>
                    <w:br/>
                  </w:r>
                  <w:r w:rsidRPr="00FA603F">
                    <w:rPr>
                      <w:rFonts w:eastAsia="Calibri"/>
                      <w:sz w:val="18"/>
                      <w:szCs w:val="18"/>
                      <w:lang w:val="de-DE"/>
                    </w:rPr>
                    <w:br/>
                    <w:t xml:space="preserve">Um an dieser Aktion teilnehmen zu können, muss ein Kunde als Endkunde in der Europäischen Union, dem Vereinigten Königreich, in der </w:t>
                  </w:r>
                  <w:r w:rsidRPr="00FA603F">
                    <w:rPr>
                      <w:rFonts w:eastAsia="Calibri"/>
                      <w:sz w:val="18"/>
                      <w:szCs w:val="18"/>
                      <w:lang w:val="de-DE"/>
                    </w:rPr>
                    <w:lastRenderedPageBreak/>
                    <w:t>Schweiz, in Norwegen, Schweden, Finnland, Albanien, Bosnien-Herzegowina, Island, Mazedonien oder Serbien ansässig sein. Um an dieser Aktion teilnehmen zu können, muss ein Kunde während des Aktionszeitraums, der am 1. </w:t>
                  </w:r>
                  <w:r w:rsidR="00AB5D89">
                    <w:rPr>
                      <w:rFonts w:eastAsia="Calibri"/>
                      <w:sz w:val="18"/>
                      <w:szCs w:val="18"/>
                      <w:lang w:val="de-DE"/>
                    </w:rPr>
                    <w:t>September</w:t>
                  </w:r>
                  <w:r w:rsidRPr="00FA603F">
                    <w:rPr>
                      <w:rFonts w:eastAsia="Calibri"/>
                      <w:sz w:val="18"/>
                      <w:szCs w:val="18"/>
                      <w:lang w:val="de-DE"/>
                    </w:rPr>
                    <w:t xml:space="preserve"> 2023 um 00:00 Uhr (MEZ) beginnt und am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2023 um 23:59 Uhr (MEZ) endet (der „Aktionszeitraum“), ein Fluke Produkt kaufen.</w:t>
                  </w:r>
                  <w:r>
                    <w:rPr>
                      <w:rFonts w:eastAsia="Calibri"/>
                      <w:color w:val="000000"/>
                      <w:sz w:val="18"/>
                      <w:szCs w:val="18"/>
                      <w:lang w:val="de-DE"/>
                    </w:rPr>
                    <w:br/>
                  </w:r>
                  <w:r>
                    <w:rPr>
                      <w:rFonts w:eastAsia="Calibri"/>
                      <w:color w:val="000000"/>
                      <w:sz w:val="18"/>
                      <w:szCs w:val="18"/>
                      <w:lang w:val="de-DE"/>
                    </w:rPr>
                    <w:br/>
                    <w:t>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w:t>
                  </w:r>
                  <w:r>
                    <w:rPr>
                      <w:rFonts w:eastAsia="Calibri"/>
                      <w:color w:val="000000"/>
                      <w:sz w:val="18"/>
                      <w:szCs w:val="18"/>
                      <w:lang w:val="de-DE"/>
                    </w:rPr>
                    <w:br/>
                  </w:r>
                  <w:r>
                    <w:rPr>
                      <w:rFonts w:eastAsia="Calibri"/>
                      <w:color w:val="000000"/>
                      <w:sz w:val="18"/>
                      <w:szCs w:val="18"/>
                      <w:lang w:val="de-DE"/>
                    </w:rPr>
                    <w:br/>
                    <w:t>Teilnahmeberechtigten Kunden steht im Rahmen der oben aufgeführten Optionen oder der dem Kunden von Zeit zu Zeit angebotenen Alternative ein (1) Geschenk ihrer Wahl pro Fluke Produkt zu, dessen Preis dem Nettopreis entspricht, den der Kunde für die unter diese Aktion fallenden Fluke Produkte zum Zeitpunkt des Erwerbs der Fluke Produkte während des Aktionszeitraums bezahlt hat (ohne Mehrwertsteuer und sonstige Verkaufssteuern, Versand/Transport und sonstige Aufschläge). Sofern auf Rechnungen außer den Fluke Produkten andere Produkte aufgeführt sind, werden zur Bewertung der Berechtigung zum Erhalt des Geschenks nur die Beträge berücksichtigt, die zu den Fluke Produkten auf diesen Rechnungen gehören.</w:t>
                  </w:r>
                  <w:r>
                    <w:rPr>
                      <w:rFonts w:eastAsia="Calibri"/>
                      <w:color w:val="000000"/>
                      <w:sz w:val="18"/>
                      <w:szCs w:val="18"/>
                      <w:lang w:val="de-DE"/>
                    </w:rPr>
                    <w:br/>
                  </w:r>
                  <w:r>
                    <w:rPr>
                      <w:rFonts w:eastAsia="Calibri"/>
                      <w:color w:val="000000"/>
                      <w:sz w:val="18"/>
                      <w:szCs w:val="18"/>
                      <w:lang w:val="de-DE"/>
                    </w:rPr>
                    <w:br/>
                    <w:t>3. Hinweise zur Teilnahme an der Aktion:</w:t>
                  </w:r>
                  <w:r>
                    <w:rPr>
                      <w:rFonts w:eastAsia="Calibri"/>
                      <w:color w:val="000000"/>
                      <w:sz w:val="18"/>
                      <w:szCs w:val="18"/>
                      <w:lang w:val="de-DE"/>
                    </w:rPr>
                    <w:br/>
                  </w:r>
                  <w:r>
                    <w:rPr>
                      <w:rFonts w:eastAsia="Calibri"/>
                      <w:color w:val="000000"/>
                      <w:sz w:val="18"/>
                      <w:szCs w:val="18"/>
                      <w:lang w:val="de-DE"/>
                    </w:rPr>
                    <w:br/>
                    <w:t>Um das Geschenk erhalten zu können, müssen alle teilnahmeberechtigten Kunden den nachstehend aufgeführten Ablauf einhalten:</w:t>
                  </w:r>
                  <w:r>
                    <w:rPr>
                      <w:rFonts w:eastAsia="Calibri"/>
                      <w:color w:val="000000"/>
                      <w:sz w:val="18"/>
                      <w:szCs w:val="18"/>
                      <w:lang w:val="de-DE"/>
                    </w:rPr>
                    <w:br/>
                  </w:r>
                  <w:r>
                    <w:rPr>
                      <w:rFonts w:eastAsia="Calibri"/>
                      <w:color w:val="000000"/>
                      <w:sz w:val="18"/>
                      <w:szCs w:val="18"/>
                      <w:lang w:val="de-DE"/>
                    </w:rPr>
                    <w:br/>
                    <w:t xml:space="preserve">a. Die Kunden müssen ihren Anspruch über das Online-Registrierungsformular der Aktion unter </w:t>
                  </w:r>
                  <w:hyperlink r:id="rId7" w:history="1">
                    <w:r w:rsidR="00FA603F" w:rsidRPr="00FA603F">
                      <w:rPr>
                        <w:rStyle w:val="Hyperlink"/>
                        <w:rFonts w:eastAsia="Calibri"/>
                        <w:color w:val="0070C0"/>
                        <w:sz w:val="18"/>
                        <w:szCs w:val="18"/>
                        <w:lang w:val="de-DE"/>
                      </w:rPr>
                      <w:t>www.fluke.</w:t>
                    </w:r>
                    <w:r w:rsidR="006D1C2A">
                      <w:rPr>
                        <w:rStyle w:val="Hyperlink"/>
                        <w:rFonts w:eastAsia="Calibri"/>
                        <w:color w:val="0070C0"/>
                        <w:sz w:val="18"/>
                        <w:szCs w:val="18"/>
                        <w:lang w:val="de-DE"/>
                      </w:rPr>
                      <w:t>ch</w:t>
                    </w:r>
                    <w:r w:rsidR="00FA603F" w:rsidRPr="00FA603F">
                      <w:rPr>
                        <w:rStyle w:val="Hyperlink"/>
                        <w:rFonts w:eastAsia="Calibri"/>
                        <w:color w:val="0070C0"/>
                        <w:sz w:val="18"/>
                        <w:szCs w:val="18"/>
                        <w:lang w:val="de-DE"/>
                      </w:rPr>
                      <w:t>/freefluke</w:t>
                    </w:r>
                  </w:hyperlink>
                  <w:r w:rsidRPr="00FA603F">
                    <w:rPr>
                      <w:rFonts w:eastAsia="Calibri"/>
                      <w:color w:val="0070C0"/>
                      <w:sz w:val="18"/>
                      <w:szCs w:val="18"/>
                      <w:u w:val="single"/>
                      <w:lang w:val="de-DE"/>
                    </w:rPr>
                    <w:t>-claim</w:t>
                  </w:r>
                  <w:r>
                    <w:rPr>
                      <w:rFonts w:eastAsia="Calibri"/>
                      <w:color w:val="FF0000"/>
                      <w:sz w:val="18"/>
                      <w:szCs w:val="18"/>
                      <w:lang w:val="de-DE"/>
                    </w:rPr>
                    <w:t xml:space="preserve"> </w:t>
                  </w:r>
                  <w:r w:rsidRPr="00FA603F">
                    <w:rPr>
                      <w:rFonts w:eastAsia="Calibri"/>
                      <w:sz w:val="18"/>
                      <w:szCs w:val="18"/>
                      <w:lang w:val="de-DE"/>
                    </w:rPr>
                    <w:t>anmelden.</w:t>
                  </w:r>
                  <w:r>
                    <w:rPr>
                      <w:rFonts w:eastAsia="Calibri"/>
                      <w:color w:val="000000"/>
                      <w:sz w:val="18"/>
                      <w:szCs w:val="18"/>
                      <w:lang w:val="de-DE"/>
                    </w:rPr>
                    <w:t xml:space="preserve"> Das Aktionsformular muss vollständig ausgefüllt und zusammen mit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w:t>
                  </w:r>
                  <w:r>
                    <w:rPr>
                      <w:rFonts w:eastAsia="Calibri"/>
                      <w:color w:val="000000"/>
                      <w:sz w:val="18"/>
                      <w:szCs w:val="18"/>
                      <w:lang w:val="de-DE"/>
                    </w:rPr>
                    <w:br/>
                  </w:r>
                  <w:r>
                    <w:rPr>
                      <w:rFonts w:eastAsia="Calibri"/>
                      <w:color w:val="000000"/>
                      <w:sz w:val="18"/>
                      <w:szCs w:val="18"/>
                      <w:lang w:val="de-DE"/>
                    </w:rPr>
                    <w:br/>
                    <w:t>b. Die Kunden müssen im Online-Registrierungsformular eines der Geschenke auswählen, die im ersten Abschnitt angegeben sind.</w:t>
                  </w:r>
                  <w:r>
                    <w:rPr>
                      <w:rFonts w:eastAsia="Calibri"/>
                      <w:color w:val="000000"/>
                      <w:sz w:val="18"/>
                      <w:szCs w:val="18"/>
                      <w:lang w:val="de-DE"/>
                    </w:rPr>
                    <w:br/>
                  </w:r>
                  <w:r>
                    <w:rPr>
                      <w:rFonts w:eastAsia="Calibri"/>
                      <w:color w:val="000000"/>
                      <w:sz w:val="18"/>
                      <w:szCs w:val="18"/>
                      <w:lang w:val="de-DE"/>
                    </w:rPr>
                    <w:br/>
                    <w:t>c. Pro Fluke Produkt können die Kunden lediglich den Anspruch eines Geschenks anmelden. Rechnungen können nicht zusammengefasst oder mehrfach verwendet werden.</w:t>
                  </w:r>
                  <w:r>
                    <w:rPr>
                      <w:rFonts w:eastAsia="Calibri"/>
                      <w:color w:val="000000"/>
                      <w:sz w:val="18"/>
                      <w:szCs w:val="18"/>
                      <w:lang w:val="de-DE"/>
                    </w:rPr>
                    <w:br/>
                  </w:r>
                  <w:r>
                    <w:rPr>
                      <w:rFonts w:eastAsia="Calibri"/>
                      <w:color w:val="000000"/>
                      <w:sz w:val="18"/>
                      <w:szCs w:val="18"/>
                      <w:lang w:val="de-DE"/>
                    </w:rPr>
                    <w:br/>
                    <w:t xml:space="preserve">d. </w:t>
                  </w:r>
                  <w:r w:rsidRPr="00FA603F">
                    <w:rPr>
                      <w:rFonts w:eastAsia="Calibri"/>
                      <w:sz w:val="18"/>
                      <w:szCs w:val="18"/>
                      <w:lang w:val="de-DE"/>
                    </w:rPr>
                    <w:t xml:space="preserve">Der Sponsor akzeptiert gültige Ansprüche bis zum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Januar 2024</w:t>
                  </w:r>
                  <w:r w:rsidRPr="00FA603F">
                    <w:rPr>
                      <w:rFonts w:eastAsia="Calibri"/>
                      <w:sz w:val="18"/>
                      <w:szCs w:val="18"/>
                      <w:lang w:val="de-DE"/>
                    </w:rPr>
                    <w:t xml:space="preserve"> („Anspruchsfrist“) mit einem Kaufbeleg, der zwischen dem 1. </w:t>
                  </w:r>
                  <w:r w:rsidR="00AB5D89">
                    <w:rPr>
                      <w:rFonts w:eastAsia="Calibri"/>
                      <w:sz w:val="18"/>
                      <w:szCs w:val="18"/>
                      <w:lang w:val="de-DE"/>
                    </w:rPr>
                    <w:t>September</w:t>
                  </w:r>
                  <w:r w:rsidRPr="00FA603F">
                    <w:rPr>
                      <w:rFonts w:eastAsia="Calibri"/>
                      <w:sz w:val="18"/>
                      <w:szCs w:val="18"/>
                      <w:lang w:val="de-DE"/>
                    </w:rPr>
                    <w:t xml:space="preserve">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 2023</w:t>
                  </w:r>
                  <w:r w:rsidRPr="00FA603F">
                    <w:rPr>
                      <w:rFonts w:eastAsia="Calibri"/>
                      <w:sz w:val="18"/>
                      <w:szCs w:val="18"/>
                      <w:lang w:val="de-DE"/>
                    </w:rPr>
                    <w:t xml:space="preserve"> ausgestellt wurde.  Nach diesem Datum eingereichte Ansprüche werden als ungültig abgelehnt. </w:t>
                  </w:r>
                  <w:r w:rsidRPr="00FA603F">
                    <w:rPr>
                      <w:rFonts w:eastAsia="Calibri"/>
                      <w:sz w:val="18"/>
                      <w:szCs w:val="18"/>
                      <w:lang w:val="de-DE"/>
                    </w:rPr>
                    <w:br/>
                  </w:r>
                  <w:r w:rsidRPr="00FA603F">
                    <w:rPr>
                      <w:rFonts w:eastAsia="Calibri"/>
                      <w:sz w:val="18"/>
                      <w:szCs w:val="18"/>
                      <w:lang w:val="de-DE"/>
                    </w:rPr>
                    <w:br/>
                    <w:t>e. Der Sponsor überprüft die eingereichten Rechnungskopien, die Geschenkoptionen und die Formulare. Bei Unstimmigkeiten im Formular, zum Beispiel bei einem nicht erfolgten Kauf eines Fluke 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r w:rsidRPr="00FA603F">
                    <w:rPr>
                      <w:rFonts w:eastAsia="Calibri"/>
                      <w:sz w:val="18"/>
                      <w:szCs w:val="18"/>
                      <w:lang w:val="de-DE"/>
                    </w:rPr>
                    <w:br/>
                  </w:r>
                  <w:r w:rsidRPr="00FA603F">
                    <w:rPr>
                      <w:rFonts w:eastAsia="Calibri"/>
                      <w:sz w:val="18"/>
                      <w:szCs w:val="18"/>
                      <w:lang w:val="de-DE"/>
                    </w:rPr>
                    <w:br/>
                    <w:t>f. Innerhalb von 45 Tagen ab dem Ende der Geltendmachung von Ansprüchen versendet der Sponsor oder dessen Beauftragter das Geschenk an die durch den Kunden angegebene Adresse.</w:t>
                  </w:r>
                  <w:r w:rsidRPr="00FA603F">
                    <w:rPr>
                      <w:rFonts w:eastAsia="Calibri"/>
                      <w:sz w:val="18"/>
                      <w:szCs w:val="18"/>
                      <w:lang w:val="de-DE"/>
                    </w:rPr>
                    <w:br/>
                  </w:r>
                  <w:r w:rsidRPr="00FA603F">
                    <w:rPr>
                      <w:rFonts w:eastAsia="Calibri"/>
                      <w:sz w:val="18"/>
                      <w:szCs w:val="18"/>
                      <w:lang w:val="de-DE"/>
                    </w:rPr>
                    <w:br/>
                    <w:t xml:space="preserve">g. Bei Nichterhalt des kostenlosen Produkts informiert der Kunde den Sponsor zum frühestmöglichen Zeitpunkt, jedoch nicht später als am </w:t>
                  </w:r>
                  <w:r w:rsidR="00AB5D89">
                    <w:rPr>
                      <w:rFonts w:eastAsia="Calibri"/>
                      <w:sz w:val="18"/>
                      <w:szCs w:val="18"/>
                      <w:lang w:val="de-DE"/>
                    </w:rPr>
                    <w:t>15. Februar 2024</w:t>
                  </w:r>
                  <w:r w:rsidRPr="00FA603F">
                    <w:rPr>
                      <w:rFonts w:eastAsia="Calibri"/>
                      <w:sz w:val="18"/>
                      <w:szCs w:val="18"/>
                      <w:lang w:val="de-DE"/>
                    </w:rPr>
                    <w:t xml:space="preserve">. </w:t>
                  </w:r>
                  <w:r>
                    <w:rPr>
                      <w:rFonts w:eastAsia="Calibri"/>
                      <w:color w:val="000000"/>
                      <w:sz w:val="18"/>
                      <w:szCs w:val="18"/>
                      <w:lang w:val="de-DE"/>
                    </w:rPr>
                    <w:t>Ansprüche aufgrund des Nichterhalts, die nach diesem Datum eingehen, werden ausschließlich im alleinigen Ermessen des Sponsors geregelt.</w:t>
                  </w:r>
                  <w:r>
                    <w:rPr>
                      <w:rFonts w:eastAsia="Calibri"/>
                      <w:color w:val="000000"/>
                      <w:sz w:val="18"/>
                      <w:szCs w:val="18"/>
                      <w:lang w:val="de-DE"/>
                    </w:rPr>
                    <w:br/>
                  </w:r>
                  <w:r>
                    <w:rPr>
                      <w:rFonts w:eastAsia="Calibri"/>
                      <w:color w:val="000000"/>
                      <w:sz w:val="18"/>
                      <w:szCs w:val="18"/>
                      <w:lang w:val="de-DE"/>
                    </w:rPr>
                    <w:br/>
                    <w:t>4. Weitere Einschränkungen und Beschränkungen im Zusammenhang mit der Aktion:</w:t>
                  </w:r>
                  <w:r>
                    <w:rPr>
                      <w:rFonts w:eastAsia="Calibri"/>
                      <w:color w:val="000000"/>
                      <w:sz w:val="18"/>
                      <w:szCs w:val="18"/>
                      <w:lang w:val="de-DE"/>
                    </w:rPr>
                    <w:br/>
                  </w:r>
                  <w:r>
                    <w:rPr>
                      <w:rFonts w:eastAsia="Calibri"/>
                      <w:color w:val="000000"/>
                      <w:sz w:val="18"/>
                      <w:szCs w:val="18"/>
                      <w:lang w:val="de-DE"/>
                    </w:rPr>
                    <w:b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r>
                    <w:rPr>
                      <w:rFonts w:eastAsia="Calibri"/>
                      <w:color w:val="000000"/>
                      <w:sz w:val="18"/>
                      <w:szCs w:val="18"/>
                      <w:lang w:val="de-DE"/>
                    </w:rPr>
                    <w:br/>
                  </w:r>
                  <w:r>
                    <w:rPr>
                      <w:rFonts w:eastAsia="Calibri"/>
                      <w:color w:val="000000"/>
                      <w:sz w:val="18"/>
                      <w:szCs w:val="18"/>
                      <w:lang w:val="de-DE"/>
                    </w:rPr>
                    <w:br/>
                    <w:t>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w:t>
                  </w:r>
                  <w:r>
                    <w:rPr>
                      <w:rFonts w:eastAsia="Calibri"/>
                      <w:color w:val="000000"/>
                      <w:sz w:val="18"/>
                      <w:szCs w:val="18"/>
                      <w:lang w:val="de-DE"/>
                    </w:rPr>
                    <w:br/>
                  </w:r>
                  <w:r>
                    <w:rPr>
                      <w:rFonts w:eastAsia="Calibri"/>
                      <w:color w:val="000000"/>
                      <w:sz w:val="18"/>
                      <w:szCs w:val="18"/>
                      <w:lang w:val="de-DE"/>
                    </w:rPr>
                    <w:br/>
                    <w:t xml:space="preserve">Teilnehmer an dieser Aktion, die Fluke Produkte für oder im Namen ihres Arbeitgebers erwerben, erklären sich einverstanden, alle im </w:t>
                  </w:r>
                  <w:r>
                    <w:rPr>
                      <w:rFonts w:eastAsia="Calibri"/>
                      <w:color w:val="000000"/>
                      <w:sz w:val="18"/>
                      <w:szCs w:val="18"/>
                      <w:lang w:val="de-DE"/>
                    </w:rPr>
                    <w:lastRenderedPageBreak/>
                    <w:t>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w:t>
                  </w:r>
                  <w:r>
                    <w:rPr>
                      <w:rFonts w:eastAsia="Calibri"/>
                      <w:color w:val="000000"/>
                      <w:sz w:val="18"/>
                      <w:szCs w:val="18"/>
                      <w:lang w:val="de-DE"/>
                    </w:rPr>
                    <w:br/>
                  </w:r>
                  <w:r>
                    <w:rPr>
                      <w:rFonts w:eastAsia="Calibri"/>
                      <w:color w:val="000000"/>
                      <w:sz w:val="18"/>
                      <w:szCs w:val="18"/>
                      <w:lang w:val="de-DE"/>
                    </w:rPr>
                    <w:br/>
                    <w:t>Mitarbeiter, Subdistributoren und deren Bevollmächtigte oder Beauftragte, Direktoren und Führungskräfte des Sponsors, seiner übergeordneten Unternehmen, Tochtergesellschaften, Niederlassungen, Distributoren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w:t>
                  </w:r>
                  <w:r>
                    <w:rPr>
                      <w:rFonts w:eastAsia="Calibri"/>
                      <w:color w:val="000000"/>
                      <w:sz w:val="18"/>
                      <w:szCs w:val="18"/>
                      <w:lang w:val="de-DE"/>
                    </w:rPr>
                    <w:br/>
                  </w:r>
                  <w:r>
                    <w:rPr>
                      <w:rFonts w:eastAsia="Calibri"/>
                      <w:color w:val="000000"/>
                      <w:sz w:val="18"/>
                      <w:szCs w:val="18"/>
                      <w:lang w:val="de-DE"/>
                    </w:rPr>
                    <w:br/>
                    <w:t>5. Haftungsausschluss:</w:t>
                  </w:r>
                  <w:r>
                    <w:rPr>
                      <w:rFonts w:eastAsia="Calibri"/>
                      <w:color w:val="000000"/>
                      <w:sz w:val="18"/>
                      <w:szCs w:val="18"/>
                      <w:lang w:val="de-DE"/>
                    </w:rPr>
                    <w:br/>
                  </w:r>
                  <w:r>
                    <w:rPr>
                      <w:rFonts w:eastAsia="Calibri"/>
                      <w:color w:val="000000"/>
                      <w:sz w:val="18"/>
                      <w:szCs w:val="18"/>
                      <w:lang w:val="de-DE"/>
                    </w:rPr>
                    <w:br/>
                    <w:t>Der Sponsor und jede seiner Muttergesellschaften, Niederlassungen und verbundenen Unternehmen sowie deren Direktoren, Führungskräfte, Berater, Vertriebspartner, Bevollmächtigten, Vertreter, Mitarbeiter und Beauftragten (gemeinsam die „freigestellten Parteien“)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w:t>
                  </w:r>
                  <w:r>
                    <w:rPr>
                      <w:rFonts w:eastAsia="Calibri"/>
                      <w:color w:val="000000"/>
                      <w:sz w:val="18"/>
                      <w:szCs w:val="18"/>
                      <w:lang w:val="de-DE"/>
                    </w:rPr>
                    <w:br/>
                  </w:r>
                  <w:r>
                    <w:rPr>
                      <w:rFonts w:eastAsia="Calibri"/>
                      <w:color w:val="000000"/>
                      <w:sz w:val="18"/>
                      <w:szCs w:val="18"/>
                      <w:lang w:val="de-DE"/>
                    </w:rPr>
                    <w:br/>
                  </w:r>
                  <w:r>
                    <w:rPr>
                      <w:rFonts w:eastAsia="Calibri"/>
                      <w:color w:val="000000"/>
                      <w:sz w:val="18"/>
                      <w:szCs w:val="18"/>
                      <w:lang w:val="de-DE"/>
                    </w:rPr>
                    <w:br/>
                    <w:t>6. Haftungsfreistellung und Schadloshaltung:</w:t>
                  </w:r>
                  <w:r>
                    <w:rPr>
                      <w:rFonts w:eastAsia="Calibri"/>
                      <w:color w:val="000000"/>
                      <w:sz w:val="18"/>
                      <w:szCs w:val="18"/>
                      <w:lang w:val="de-DE"/>
                    </w:rPr>
                    <w:br/>
                  </w:r>
                  <w:r>
                    <w:rPr>
                      <w:rFonts w:eastAsia="Calibri"/>
                      <w:color w:val="000000"/>
                      <w:sz w:val="18"/>
                      <w:szCs w:val="18"/>
                      <w:lang w:val="de-DE"/>
                    </w:rPr>
                    <w:br/>
                    <w:t>Soweit gesetzlich zulässig, erklärt sich der Kunde durch seine Teilnahme an der Aktion einverstanden, alle freigestellten Parteien von jeglicher Form von Haftung, Verpflichtung, Verletzung, Anspruch, Klage, Kosten, Ausgaben, Verlust oder Schaden freizustellen und schadlos zu halten, einschließlich jeglicher Steuerpflichten oder entgangener Geschäftsmöglichkeiten, ungeachtet dessen, ob es sich um direkte oder indirekte Schäden, Sonder-, Neben- oder Folgeschäden handelt, die aufgrund eines Zusammenhangs mit der Aktion und den entsprechenden Angeboten einer dieser freigestellten Parteien auferlegt oder gegen sie geltend gemacht werden oder ihr entstehen, einschließlich unter anderem im Zusammenhang mit: (a) technischen Schwierigkeiten oder Anlagenstörungen (egal ob unter der Kontrolle des Sponsors oder nicht); (b) Diebstahl, unautorisiertem Zugriff oder Störung durch Dritte; (c) verspäteten, verlorenen, veränderten, beschädigten oder fehlgeleiteten Einlösungsanträgen (ob nach dem Erhalt durch den Sponsor bzw. unter dessen Kontrolle oder nicht); (d) Schäden aufgrund des Postbetriebs; (e) Änderung des Gewinnspielwerts in Abweichung von den vorliegenden allgemeinen Teilnahmebedingungen; (f) dem Teilnehmer entstandenen Steuerverbindlichkeiten; oder (g) Verwendung oder unsachgemäßer Verwendung der im Rahmen des Gewinnspiels angebotenen Produkte.</w:t>
                  </w:r>
                  <w:r>
                    <w:rPr>
                      <w:rFonts w:eastAsia="Calibri"/>
                      <w:color w:val="000000"/>
                      <w:sz w:val="18"/>
                      <w:szCs w:val="18"/>
                      <w:lang w:val="de-DE"/>
                    </w:rPr>
                    <w:br/>
                  </w:r>
                  <w:r>
                    <w:rPr>
                      <w:rFonts w:eastAsia="Calibri"/>
                      <w:color w:val="000000"/>
                      <w:sz w:val="18"/>
                      <w:szCs w:val="18"/>
                      <w:lang w:val="de-DE"/>
                    </w:rPr>
                    <w:br/>
                    <w:t>7. Sonstiges:</w:t>
                  </w:r>
                  <w:r>
                    <w:rPr>
                      <w:rFonts w:eastAsia="Calibri"/>
                      <w:color w:val="000000"/>
                      <w:sz w:val="18"/>
                      <w:szCs w:val="18"/>
                      <w:lang w:val="de-DE"/>
                    </w:rPr>
                    <w:br/>
                  </w:r>
                  <w:r>
                    <w:rPr>
                      <w:rFonts w:eastAsia="Calibri"/>
                      <w:color w:val="000000"/>
                      <w:sz w:val="18"/>
                      <w:szCs w:val="18"/>
                      <w:lang w:val="de-DE"/>
                    </w:rPr>
                    <w:br/>
                    <w:t>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w:t>
                  </w:r>
                  <w:r>
                    <w:rPr>
                      <w:rFonts w:eastAsia="Calibri"/>
                      <w:color w:val="000000"/>
                      <w:sz w:val="18"/>
                      <w:szCs w:val="18"/>
                      <w:lang w:val="de-DE"/>
                    </w:rPr>
                    <w:br/>
                  </w:r>
                  <w:r>
                    <w:rPr>
                      <w:rFonts w:eastAsia="Calibri"/>
                      <w:color w:val="000000"/>
                      <w:sz w:val="18"/>
                      <w:szCs w:val="18"/>
                      <w:lang w:val="de-DE"/>
                    </w:rPr>
                    <w:br/>
                    <w:t xml:space="preserve">Die Kunden sind an diese Teilnahmebedingungen und an die Entscheidungen des Sponsors gebunden, die in jeder Hinsicht endgültig und </w:t>
                  </w:r>
                  <w:r>
                    <w:rPr>
                      <w:rFonts w:eastAsia="Calibri"/>
                      <w:color w:val="000000"/>
                      <w:sz w:val="18"/>
                      <w:szCs w:val="18"/>
                      <w:lang w:val="de-DE"/>
                    </w:rPr>
                    <w:lastRenderedPageBreak/>
                    <w:t>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r>
                    <w:rPr>
                      <w:rFonts w:eastAsia="Calibri"/>
                      <w:color w:val="000000"/>
                      <w:sz w:val="18"/>
                      <w:szCs w:val="18"/>
                      <w:lang w:val="de-DE"/>
                    </w:rPr>
                    <w:br/>
                  </w:r>
                  <w:r>
                    <w:rPr>
                      <w:rFonts w:eastAsia="Calibri"/>
                      <w:color w:val="000000"/>
                      <w:sz w:val="18"/>
                      <w:szCs w:val="18"/>
                      <w:lang w:val="de-DE"/>
                    </w:rPr>
                    <w:br/>
                    <w:t>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w:t>
                  </w:r>
                  <w:r>
                    <w:rPr>
                      <w:rFonts w:eastAsia="Calibri"/>
                      <w:color w:val="000000"/>
                      <w:sz w:val="18"/>
                      <w:szCs w:val="18"/>
                      <w:lang w:val="de-DE"/>
                    </w:rPr>
                    <w:br/>
                  </w:r>
                  <w:r>
                    <w:rPr>
                      <w:rFonts w:eastAsia="Calibri"/>
                      <w:color w:val="000000"/>
                      <w:sz w:val="18"/>
                      <w:szCs w:val="18"/>
                      <w:lang w:val="de-DE"/>
                    </w:rPr>
                    <w:br/>
                    <w:t>Kunden, die den vorliegenden Teilnahmebedingungen zuwiderhandeln oder gegen Gesetze, Regeln oder Bestimmungen im Zusammenhang mit der Teilnahme an der Aktion verstoßen, unerlaubte Änderungen an der Aktion vornehmen oder ein Verhalten zeigen, das gegenüber dem Sponsor oder anderen Teilnehmern (wie von Fall zu Fall im eigenen uneingeschränkten Ermessen des Sponsors entschieden wird) störend oder unfair ist, werden von dieser Aktion und allen anderen Rechten und gesetzlich zustehenden Rechtsmitteln ausgeschlossen.</w:t>
                  </w:r>
                  <w:r>
                    <w:rPr>
                      <w:rFonts w:eastAsia="Calibri"/>
                      <w:color w:val="000000"/>
                      <w:sz w:val="18"/>
                      <w:szCs w:val="18"/>
                      <w:lang w:val="de-DE"/>
                    </w:rPr>
                    <w:br/>
                  </w:r>
                  <w:r>
                    <w:rPr>
                      <w:rFonts w:eastAsia="Calibri"/>
                      <w:color w:val="000000"/>
                      <w:sz w:val="18"/>
                      <w:szCs w:val="18"/>
                      <w:lang w:val="de-DE"/>
                    </w:rPr>
                    <w:br/>
                    <w:t xml:space="preserve">Die Nutzung der dem Sponsor bereitgestellten personenbezogenen Daten des Kunden durch den Sponsor unterliegt der Datenschutzerklärung des Sponsors (verfügbar unter </w:t>
                  </w:r>
                  <w:hyperlink r:id="rId8" w:history="1">
                    <w:r>
                      <w:rPr>
                        <w:rFonts w:eastAsia="Calibri"/>
                        <w:color w:val="0563C1"/>
                        <w:sz w:val="18"/>
                        <w:szCs w:val="18"/>
                        <w:u w:val="single"/>
                        <w:lang w:val="de-DE"/>
                      </w:rPr>
                      <w:t>http://en-us.fluke.com/site/privacy</w:t>
                    </w:r>
                  </w:hyperlink>
                  <w:r>
                    <w:rPr>
                      <w:rFonts w:eastAsia="Calibri"/>
                      <w:color w:val="000000"/>
                      <w:sz w:val="18"/>
                      <w:szCs w:val="18"/>
                      <w:lang w:val="de-DE"/>
                    </w:rPr>
                    <w:t xml:space="preserve">). Fragen über die vorliegenden Teilnahmebedingungen oder die Reaktion können Sie per E-Mail an </w:t>
                  </w:r>
                  <w:hyperlink r:id="rId9" w:history="1">
                    <w:r>
                      <w:rPr>
                        <w:rFonts w:eastAsia="Calibri"/>
                        <w:color w:val="0563C1"/>
                        <w:sz w:val="18"/>
                        <w:szCs w:val="18"/>
                        <w:u w:val="single"/>
                        <w:lang w:val="de-DE"/>
                      </w:rPr>
                      <w:t>privacypolicy@fluke.com</w:t>
                    </w:r>
                  </w:hyperlink>
                  <w:r>
                    <w:rPr>
                      <w:rFonts w:eastAsia="Calibri"/>
                      <w:color w:val="000000"/>
                      <w:sz w:val="18"/>
                      <w:szCs w:val="18"/>
                      <w:lang w:val="de-DE"/>
                    </w:rPr>
                    <w:t xml:space="preserve"> oder per Post an die nachstehend angegebene Adresse senden.</w:t>
                  </w:r>
                  <w:r>
                    <w:rPr>
                      <w:rFonts w:eastAsia="Calibri"/>
                      <w:color w:val="000000"/>
                      <w:sz w:val="18"/>
                      <w:szCs w:val="18"/>
                      <w:lang w:val="de-DE"/>
                    </w:rPr>
                    <w:br/>
                  </w:r>
                  <w:r>
                    <w:rPr>
                      <w:rFonts w:eastAsia="Calibri"/>
                      <w:color w:val="000000"/>
                      <w:sz w:val="18"/>
                      <w:szCs w:val="18"/>
                      <w:lang w:val="de-DE"/>
                    </w:rPr>
                    <w:br/>
                    <w:t>8. Adresse des Sponsors:</w:t>
                  </w:r>
                  <w:r>
                    <w:rPr>
                      <w:rFonts w:eastAsia="Calibri"/>
                      <w:color w:val="000000"/>
                      <w:sz w:val="18"/>
                      <w:szCs w:val="18"/>
                      <w:lang w:val="de-DE"/>
                    </w:rPr>
                    <w:br/>
                  </w:r>
                  <w:r>
                    <w:rPr>
                      <w:rFonts w:eastAsia="Calibri"/>
                      <w:color w:val="000000"/>
                      <w:sz w:val="18"/>
                      <w:szCs w:val="18"/>
                      <w:lang w:val="de-DE"/>
                    </w:rPr>
                    <w:br/>
                    <w:t>Fluke Europe B.V., BIC 1, 5657 BX, Niederlande.</w:t>
                  </w:r>
                  <w:r>
                    <w:rPr>
                      <w:rFonts w:eastAsia="Calibri"/>
                      <w:color w:val="000000"/>
                      <w:sz w:val="18"/>
                      <w:szCs w:val="18"/>
                      <w:lang w:val="de-DE"/>
                    </w:rPr>
                    <w:br/>
                  </w:r>
                  <w:r>
                    <w:rPr>
                      <w:rFonts w:eastAsia="Calibri"/>
                      <w:color w:val="000000"/>
                      <w:sz w:val="18"/>
                      <w:szCs w:val="18"/>
                      <w:lang w:val="de-DE"/>
                    </w:rPr>
                    <w:br/>
                    <w:t>9. Hinweise zu Urheberrechten und Marken:</w:t>
                  </w:r>
                  <w:r>
                    <w:rPr>
                      <w:rFonts w:eastAsia="Calibri"/>
                      <w:color w:val="000000"/>
                      <w:sz w:val="18"/>
                      <w:szCs w:val="18"/>
                      <w:lang w:val="de-DE"/>
                    </w:rPr>
                    <w:br/>
                    <w:t>Die Aktion und alle zugehörigen Materialien unterliegen dem Copyright © 2023 der Fluke Corporation und deren angeschlossenen juristischen Körperschaften. Alle Rechte vorbehalten. FLUKE ist eine eingetragene Marke der Fluke Corporation.</w:t>
                  </w:r>
                </w:p>
                <w:p w14:paraId="3DA15617" w14:textId="77777777" w:rsidR="004E2DCE" w:rsidRPr="00FA603F" w:rsidRDefault="004E2DCE">
                  <w:pPr>
                    <w:rPr>
                      <w:rFonts w:asciiTheme="minorHAnsi" w:eastAsia="Times New Roman" w:hAnsiTheme="minorHAnsi" w:cstheme="minorHAnsi"/>
                      <w:sz w:val="20"/>
                      <w:szCs w:val="20"/>
                      <w:lang w:val="nl-NL"/>
                    </w:rPr>
                  </w:pPr>
                </w:p>
              </w:tc>
            </w:tr>
          </w:tbl>
          <w:p w14:paraId="025ED546" w14:textId="77777777" w:rsidR="004E2DCE" w:rsidRPr="00FA603F" w:rsidRDefault="004E2DCE">
            <w:pPr>
              <w:rPr>
                <w:rFonts w:asciiTheme="minorHAnsi" w:eastAsia="Times New Roman" w:hAnsiTheme="minorHAnsi" w:cstheme="minorHAnsi"/>
                <w:sz w:val="20"/>
                <w:szCs w:val="20"/>
                <w:lang w:val="nl-NL"/>
              </w:rPr>
            </w:pPr>
          </w:p>
        </w:tc>
      </w:tr>
    </w:tbl>
    <w:p w14:paraId="5E1CDA51" w14:textId="77777777" w:rsidR="00E57D3A" w:rsidRPr="00FA603F" w:rsidRDefault="00E57D3A">
      <w:pPr>
        <w:rPr>
          <w:rFonts w:asciiTheme="minorHAnsi" w:hAnsiTheme="minorHAnsi" w:cstheme="minorHAnsi"/>
          <w:lang w:val="nl-NL"/>
        </w:rPr>
      </w:pPr>
    </w:p>
    <w:sectPr w:rsidR="00E57D3A" w:rsidRPr="00FA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D854B19E"/>
    <w:lvl w:ilvl="0" w:tplc="70BC522E">
      <w:start w:val="1"/>
      <w:numFmt w:val="bullet"/>
      <w:lvlText w:val=""/>
      <w:lvlJc w:val="left"/>
      <w:pPr>
        <w:ind w:left="720" w:hanging="360"/>
      </w:pPr>
      <w:rPr>
        <w:rFonts w:ascii="Symbol" w:hAnsi="Symbol" w:hint="default"/>
        <w:color w:val="auto"/>
      </w:rPr>
    </w:lvl>
    <w:lvl w:ilvl="1" w:tplc="19A06EB4" w:tentative="1">
      <w:start w:val="1"/>
      <w:numFmt w:val="bullet"/>
      <w:lvlText w:val="o"/>
      <w:lvlJc w:val="left"/>
      <w:pPr>
        <w:ind w:left="1440" w:hanging="360"/>
      </w:pPr>
      <w:rPr>
        <w:rFonts w:ascii="Courier New" w:hAnsi="Courier New" w:cs="Courier New" w:hint="default"/>
      </w:rPr>
    </w:lvl>
    <w:lvl w:ilvl="2" w:tplc="59301DA4" w:tentative="1">
      <w:start w:val="1"/>
      <w:numFmt w:val="bullet"/>
      <w:lvlText w:val=""/>
      <w:lvlJc w:val="left"/>
      <w:pPr>
        <w:ind w:left="2160" w:hanging="360"/>
      </w:pPr>
      <w:rPr>
        <w:rFonts w:ascii="Wingdings" w:hAnsi="Wingdings" w:hint="default"/>
      </w:rPr>
    </w:lvl>
    <w:lvl w:ilvl="3" w:tplc="8D8EF192" w:tentative="1">
      <w:start w:val="1"/>
      <w:numFmt w:val="bullet"/>
      <w:lvlText w:val=""/>
      <w:lvlJc w:val="left"/>
      <w:pPr>
        <w:ind w:left="2880" w:hanging="360"/>
      </w:pPr>
      <w:rPr>
        <w:rFonts w:ascii="Symbol" w:hAnsi="Symbol" w:hint="default"/>
      </w:rPr>
    </w:lvl>
    <w:lvl w:ilvl="4" w:tplc="FF3C3F60" w:tentative="1">
      <w:start w:val="1"/>
      <w:numFmt w:val="bullet"/>
      <w:lvlText w:val="o"/>
      <w:lvlJc w:val="left"/>
      <w:pPr>
        <w:ind w:left="3600" w:hanging="360"/>
      </w:pPr>
      <w:rPr>
        <w:rFonts w:ascii="Courier New" w:hAnsi="Courier New" w:cs="Courier New" w:hint="default"/>
      </w:rPr>
    </w:lvl>
    <w:lvl w:ilvl="5" w:tplc="C1964568" w:tentative="1">
      <w:start w:val="1"/>
      <w:numFmt w:val="bullet"/>
      <w:lvlText w:val=""/>
      <w:lvlJc w:val="left"/>
      <w:pPr>
        <w:ind w:left="4320" w:hanging="360"/>
      </w:pPr>
      <w:rPr>
        <w:rFonts w:ascii="Wingdings" w:hAnsi="Wingdings" w:hint="default"/>
      </w:rPr>
    </w:lvl>
    <w:lvl w:ilvl="6" w:tplc="2D6256B2" w:tentative="1">
      <w:start w:val="1"/>
      <w:numFmt w:val="bullet"/>
      <w:lvlText w:val=""/>
      <w:lvlJc w:val="left"/>
      <w:pPr>
        <w:ind w:left="5040" w:hanging="360"/>
      </w:pPr>
      <w:rPr>
        <w:rFonts w:ascii="Symbol" w:hAnsi="Symbol" w:hint="default"/>
      </w:rPr>
    </w:lvl>
    <w:lvl w:ilvl="7" w:tplc="672435FA" w:tentative="1">
      <w:start w:val="1"/>
      <w:numFmt w:val="bullet"/>
      <w:lvlText w:val="o"/>
      <w:lvlJc w:val="left"/>
      <w:pPr>
        <w:ind w:left="5760" w:hanging="360"/>
      </w:pPr>
      <w:rPr>
        <w:rFonts w:ascii="Courier New" w:hAnsi="Courier New" w:cs="Courier New" w:hint="default"/>
      </w:rPr>
    </w:lvl>
    <w:lvl w:ilvl="8" w:tplc="3C4E05B0"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1C0C57E2">
      <w:start w:val="1"/>
      <w:numFmt w:val="bullet"/>
      <w:lvlText w:val=""/>
      <w:lvlJc w:val="left"/>
      <w:pPr>
        <w:ind w:left="720" w:hanging="360"/>
      </w:pPr>
      <w:rPr>
        <w:rFonts w:ascii="Symbol" w:hAnsi="Symbol" w:hint="default"/>
      </w:rPr>
    </w:lvl>
    <w:lvl w:ilvl="1" w:tplc="E58821C4" w:tentative="1">
      <w:start w:val="1"/>
      <w:numFmt w:val="bullet"/>
      <w:lvlText w:val="o"/>
      <w:lvlJc w:val="left"/>
      <w:pPr>
        <w:ind w:left="1440" w:hanging="360"/>
      </w:pPr>
      <w:rPr>
        <w:rFonts w:ascii="Courier New" w:hAnsi="Courier New" w:cs="Courier New" w:hint="default"/>
      </w:rPr>
    </w:lvl>
    <w:lvl w:ilvl="2" w:tplc="C4D01A6A" w:tentative="1">
      <w:start w:val="1"/>
      <w:numFmt w:val="bullet"/>
      <w:lvlText w:val=""/>
      <w:lvlJc w:val="left"/>
      <w:pPr>
        <w:ind w:left="2160" w:hanging="360"/>
      </w:pPr>
      <w:rPr>
        <w:rFonts w:ascii="Wingdings" w:hAnsi="Wingdings" w:hint="default"/>
      </w:rPr>
    </w:lvl>
    <w:lvl w:ilvl="3" w:tplc="A2EA60AE" w:tentative="1">
      <w:start w:val="1"/>
      <w:numFmt w:val="bullet"/>
      <w:lvlText w:val=""/>
      <w:lvlJc w:val="left"/>
      <w:pPr>
        <w:ind w:left="2880" w:hanging="360"/>
      </w:pPr>
      <w:rPr>
        <w:rFonts w:ascii="Symbol" w:hAnsi="Symbol" w:hint="default"/>
      </w:rPr>
    </w:lvl>
    <w:lvl w:ilvl="4" w:tplc="58367FF0" w:tentative="1">
      <w:start w:val="1"/>
      <w:numFmt w:val="bullet"/>
      <w:lvlText w:val="o"/>
      <w:lvlJc w:val="left"/>
      <w:pPr>
        <w:ind w:left="3600" w:hanging="360"/>
      </w:pPr>
      <w:rPr>
        <w:rFonts w:ascii="Courier New" w:hAnsi="Courier New" w:cs="Courier New" w:hint="default"/>
      </w:rPr>
    </w:lvl>
    <w:lvl w:ilvl="5" w:tplc="9594E984" w:tentative="1">
      <w:start w:val="1"/>
      <w:numFmt w:val="bullet"/>
      <w:lvlText w:val=""/>
      <w:lvlJc w:val="left"/>
      <w:pPr>
        <w:ind w:left="4320" w:hanging="360"/>
      </w:pPr>
      <w:rPr>
        <w:rFonts w:ascii="Wingdings" w:hAnsi="Wingdings" w:hint="default"/>
      </w:rPr>
    </w:lvl>
    <w:lvl w:ilvl="6" w:tplc="EF7A9FBE" w:tentative="1">
      <w:start w:val="1"/>
      <w:numFmt w:val="bullet"/>
      <w:lvlText w:val=""/>
      <w:lvlJc w:val="left"/>
      <w:pPr>
        <w:ind w:left="5040" w:hanging="360"/>
      </w:pPr>
      <w:rPr>
        <w:rFonts w:ascii="Symbol" w:hAnsi="Symbol" w:hint="default"/>
      </w:rPr>
    </w:lvl>
    <w:lvl w:ilvl="7" w:tplc="DEAC2E12" w:tentative="1">
      <w:start w:val="1"/>
      <w:numFmt w:val="bullet"/>
      <w:lvlText w:val="o"/>
      <w:lvlJc w:val="left"/>
      <w:pPr>
        <w:ind w:left="5760" w:hanging="360"/>
      </w:pPr>
      <w:rPr>
        <w:rFonts w:ascii="Courier New" w:hAnsi="Courier New" w:cs="Courier New" w:hint="default"/>
      </w:rPr>
    </w:lvl>
    <w:lvl w:ilvl="8" w:tplc="D7E044AA" w:tentative="1">
      <w:start w:val="1"/>
      <w:numFmt w:val="bullet"/>
      <w:lvlText w:val=""/>
      <w:lvlJc w:val="left"/>
      <w:pPr>
        <w:ind w:left="6480" w:hanging="360"/>
      </w:pPr>
      <w:rPr>
        <w:rFonts w:ascii="Wingdings" w:hAnsi="Wingdings" w:hint="default"/>
      </w:rPr>
    </w:lvl>
  </w:abstractNum>
  <w:num w:numId="1" w16cid:durableId="354887071">
    <w:abstractNumId w:val="1"/>
  </w:num>
  <w:num w:numId="2" w16cid:durableId="96554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3E515C"/>
    <w:rsid w:val="00481C31"/>
    <w:rsid w:val="004E26BD"/>
    <w:rsid w:val="004E2DCE"/>
    <w:rsid w:val="005435D0"/>
    <w:rsid w:val="00580E10"/>
    <w:rsid w:val="00654480"/>
    <w:rsid w:val="006D1C2A"/>
    <w:rsid w:val="006F223F"/>
    <w:rsid w:val="007137DD"/>
    <w:rsid w:val="00727A27"/>
    <w:rsid w:val="007322DC"/>
    <w:rsid w:val="007825E6"/>
    <w:rsid w:val="007E6FA3"/>
    <w:rsid w:val="008205FF"/>
    <w:rsid w:val="008B68C7"/>
    <w:rsid w:val="0096648F"/>
    <w:rsid w:val="009B24D9"/>
    <w:rsid w:val="009B5EA4"/>
    <w:rsid w:val="00AB5D89"/>
    <w:rsid w:val="00B7217E"/>
    <w:rsid w:val="00CD0D23"/>
    <w:rsid w:val="00CF4C86"/>
    <w:rsid w:val="00D144B7"/>
    <w:rsid w:val="00D86A7E"/>
    <w:rsid w:val="00DD7743"/>
    <w:rsid w:val="00DF5F43"/>
    <w:rsid w:val="00E57D3A"/>
    <w:rsid w:val="00FA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FA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de/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ch/freefluke" TargetMode="External"/><Relationship Id="rId11" Type="http://schemas.openxmlformats.org/officeDocument/2006/relationships/theme" Target="theme/theme1.xml"/><Relationship Id="rId5" Type="http://schemas.openxmlformats.org/officeDocument/2006/relationships/hyperlink" Target="http://www.fluke.ch/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2576</Words>
  <Characters>14687</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4</cp:revision>
  <dcterms:created xsi:type="dcterms:W3CDTF">2023-07-24T08:40:00Z</dcterms:created>
  <dcterms:modified xsi:type="dcterms:W3CDTF">2023-07-24T08:42:00Z</dcterms:modified>
</cp:coreProperties>
</file>